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B8B11" w14:textId="7DA15AC1" w:rsidR="00DE5B40" w:rsidRPr="008F0014" w:rsidRDefault="00C176CA" w:rsidP="00C176CA">
      <w:pPr>
        <w:adjustRightInd w:val="0"/>
        <w:spacing w:after="4" w:line="248" w:lineRule="auto"/>
        <w:ind w:left="349" w:hanging="10"/>
        <w:jc w:val="right"/>
        <w:rPr>
          <w:rFonts w:ascii="Palatino Linotype" w:eastAsia="Trebuchet MS" w:hAnsi="Palatino Linotype"/>
          <w:bCs/>
          <w:color w:val="000000"/>
        </w:rPr>
      </w:pPr>
      <w:r w:rsidRPr="008F0014">
        <w:rPr>
          <w:rFonts w:ascii="Palatino Linotype" w:eastAsia="Trebuchet MS" w:hAnsi="Palatino Linotype"/>
          <w:bCs/>
          <w:color w:val="000000"/>
        </w:rPr>
        <w:t xml:space="preserve">Anexa nr. </w:t>
      </w:r>
      <w:r w:rsidR="00DD30B8" w:rsidRPr="008F0014">
        <w:rPr>
          <w:rFonts w:ascii="Palatino Linotype" w:eastAsia="Trebuchet MS" w:hAnsi="Palatino Linotype"/>
          <w:bCs/>
          <w:color w:val="000000"/>
        </w:rPr>
        <w:t>4</w:t>
      </w:r>
      <w:r w:rsidRPr="008F0014">
        <w:rPr>
          <w:rFonts w:ascii="Palatino Linotype" w:eastAsia="Trebuchet MS" w:hAnsi="Palatino Linotype"/>
          <w:bCs/>
          <w:color w:val="000000"/>
        </w:rPr>
        <w:t xml:space="preserve"> </w:t>
      </w:r>
    </w:p>
    <w:p w14:paraId="0DB99C5A" w14:textId="5E5C05AD" w:rsidR="00C176CA" w:rsidRPr="00C176CA" w:rsidRDefault="00C176CA" w:rsidP="00C176CA">
      <w:pPr>
        <w:adjustRightInd w:val="0"/>
        <w:spacing w:after="4" w:line="248" w:lineRule="auto"/>
        <w:ind w:left="349" w:hanging="10"/>
        <w:jc w:val="right"/>
        <w:rPr>
          <w:rFonts w:ascii="Palatino Linotype" w:eastAsia="Trebuchet MS" w:hAnsi="Palatino Linotype"/>
          <w:b/>
          <w:color w:val="000000"/>
        </w:rPr>
      </w:pPr>
    </w:p>
    <w:p w14:paraId="0B52A22E" w14:textId="7C247A80" w:rsidR="00C176CA" w:rsidRPr="00C176CA" w:rsidRDefault="00C176CA" w:rsidP="00C176CA">
      <w:pPr>
        <w:adjustRightInd w:val="0"/>
        <w:spacing w:after="4" w:line="248" w:lineRule="auto"/>
        <w:ind w:left="349" w:hanging="10"/>
        <w:jc w:val="right"/>
        <w:rPr>
          <w:rFonts w:ascii="Palatino Linotype" w:eastAsia="Trebuchet MS" w:hAnsi="Palatino Linotype"/>
          <w:b/>
          <w:color w:val="000000"/>
        </w:rPr>
      </w:pPr>
    </w:p>
    <w:p w14:paraId="46FE8CF0" w14:textId="77777777" w:rsidR="00C176CA" w:rsidRPr="00C176CA" w:rsidRDefault="00C176CA" w:rsidP="00651898">
      <w:pPr>
        <w:adjustRightInd w:val="0"/>
        <w:spacing w:after="4" w:line="248" w:lineRule="auto"/>
        <w:ind w:left="349" w:hanging="10"/>
        <w:jc w:val="center"/>
        <w:rPr>
          <w:rFonts w:ascii="Palatino Linotype" w:eastAsia="Trebuchet MS" w:hAnsi="Palatino Linotype"/>
          <w:b/>
          <w:color w:val="000000"/>
        </w:rPr>
      </w:pPr>
    </w:p>
    <w:p w14:paraId="6EBFFFCC" w14:textId="267046AE" w:rsidR="00651898" w:rsidRDefault="00651898" w:rsidP="00651898">
      <w:pPr>
        <w:adjustRightInd w:val="0"/>
        <w:spacing w:after="4" w:line="248" w:lineRule="auto"/>
        <w:ind w:left="349" w:hanging="10"/>
        <w:jc w:val="center"/>
        <w:rPr>
          <w:rFonts w:ascii="Palatino Linotype" w:eastAsia="Trebuchet MS" w:hAnsi="Palatino Linotype"/>
          <w:b/>
          <w:color w:val="000000"/>
        </w:rPr>
      </w:pPr>
      <w:r w:rsidRPr="00651898">
        <w:rPr>
          <w:rFonts w:ascii="Palatino Linotype" w:eastAsia="Trebuchet MS" w:hAnsi="Palatino Linotype"/>
          <w:b/>
          <w:color w:val="000000"/>
        </w:rPr>
        <w:t xml:space="preserve">DECLARAȚIE PRIVIND CONFLICTUL DE INTERESE </w:t>
      </w:r>
    </w:p>
    <w:p w14:paraId="3C5459B4" w14:textId="77777777" w:rsidR="008875D1" w:rsidRPr="00651898" w:rsidRDefault="008875D1" w:rsidP="00651898">
      <w:pPr>
        <w:adjustRightInd w:val="0"/>
        <w:spacing w:after="4" w:line="248" w:lineRule="auto"/>
        <w:ind w:left="349" w:hanging="10"/>
        <w:jc w:val="center"/>
        <w:rPr>
          <w:rFonts w:ascii="Palatino Linotype" w:eastAsia="Trebuchet MS" w:hAnsi="Palatino Linotype"/>
          <w:b/>
          <w:color w:val="000000"/>
        </w:rPr>
      </w:pPr>
    </w:p>
    <w:p w14:paraId="648467DD" w14:textId="77777777" w:rsidR="00651898" w:rsidRPr="00651898" w:rsidRDefault="00651898" w:rsidP="00651898">
      <w:pPr>
        <w:spacing w:after="4" w:line="480" w:lineRule="auto"/>
        <w:ind w:left="349" w:right="49" w:firstLine="720"/>
        <w:jc w:val="both"/>
        <w:rPr>
          <w:rFonts w:ascii="Palatino Linotype" w:eastAsia="Trebuchet MS" w:hAnsi="Palatino Linotype"/>
          <w:color w:val="000000"/>
        </w:rPr>
      </w:pPr>
    </w:p>
    <w:p w14:paraId="469168E5" w14:textId="66003B66" w:rsidR="00651898" w:rsidRPr="00651898" w:rsidRDefault="00651898" w:rsidP="00C176CA">
      <w:pPr>
        <w:tabs>
          <w:tab w:val="left" w:pos="8647"/>
        </w:tabs>
        <w:spacing w:after="4" w:line="480" w:lineRule="auto"/>
        <w:ind w:left="349" w:hanging="10"/>
        <w:jc w:val="both"/>
        <w:rPr>
          <w:rFonts w:ascii="Palatino Linotype" w:eastAsia="MS Mincho" w:hAnsi="Palatino Linotype"/>
          <w:color w:val="000000"/>
        </w:rPr>
      </w:pPr>
      <w:r w:rsidRPr="00651898">
        <w:rPr>
          <w:rFonts w:ascii="Palatino Linotype" w:eastAsia="MS Mincho" w:hAnsi="Palatino Linotype"/>
          <w:color w:val="000000"/>
        </w:rPr>
        <w:t xml:space="preserve">Subsemnatul/subsemnata.............................................., având funcţia de .............................. în cadrul ....................................., cunoscând că falsul în declaraţii este pedepsit de Codul Penal, declar pe propria răspundere, în baza informaţiilor pe care le deţin la această dată, că participarea </w:t>
      </w:r>
      <w:r w:rsidR="00DC14D1">
        <w:rPr>
          <w:rFonts w:ascii="Palatino Linotype" w:eastAsia="MS Mincho" w:hAnsi="Palatino Linotype"/>
          <w:color w:val="000000"/>
        </w:rPr>
        <w:t>ca partener</w:t>
      </w:r>
      <w:r w:rsidRPr="00651898">
        <w:rPr>
          <w:rFonts w:ascii="Palatino Linotype" w:eastAsia="Trebuchet MS" w:hAnsi="Palatino Linotype"/>
          <w:i/>
          <w:iCs/>
          <w:color w:val="000000"/>
        </w:rPr>
        <w:t xml:space="preserve"> </w:t>
      </w:r>
      <w:r w:rsidR="00DC14D1">
        <w:rPr>
          <w:rFonts w:ascii="Palatino Linotype" w:eastAsia="Trebuchet MS" w:hAnsi="Palatino Linotype"/>
          <w:iCs/>
          <w:color w:val="000000"/>
        </w:rPr>
        <w:t>în cadrul proiectului</w:t>
      </w:r>
      <w:r w:rsidRPr="00651898">
        <w:rPr>
          <w:rFonts w:ascii="Palatino Linotype" w:eastAsia="MS Mincho" w:hAnsi="Palatino Linotype"/>
          <w:color w:val="000000"/>
        </w:rPr>
        <w:t xml:space="preserve"> </w:t>
      </w:r>
      <w:r w:rsidR="00DC7F57" w:rsidRPr="00DC7F57">
        <w:rPr>
          <w:rFonts w:ascii="Palatino Linotype" w:hAnsi="Palatino Linotype" w:cs="Calibri"/>
          <w:color w:val="000000" w:themeColor="text1"/>
        </w:rPr>
        <w:t>„Revizuirea Planurilor de management al</w:t>
      </w:r>
      <w:r w:rsidR="00D46D67">
        <w:rPr>
          <w:rFonts w:ascii="Palatino Linotype" w:hAnsi="Palatino Linotype" w:cs="Calibri"/>
          <w:color w:val="000000" w:themeColor="text1"/>
        </w:rPr>
        <w:t>e</w:t>
      </w:r>
      <w:r w:rsidR="00DC7F57" w:rsidRPr="00DC7F57">
        <w:rPr>
          <w:rFonts w:ascii="Palatino Linotype" w:hAnsi="Palatino Linotype" w:cs="Calibri"/>
          <w:color w:val="000000" w:themeColor="text1"/>
        </w:rPr>
        <w:t xml:space="preserve"> ariilor protejate Munții Bodoc-Baraolt și Dealul Ciocaș-Dealul Vițelului”</w:t>
      </w:r>
      <w:r w:rsidRPr="00651898">
        <w:rPr>
          <w:rFonts w:ascii="Palatino Linotype" w:eastAsia="MS Mincho" w:hAnsi="Palatino Linotype"/>
          <w:color w:val="000000"/>
        </w:rPr>
        <w:t>, nu este de natură a crea o situa</w:t>
      </w:r>
      <w:r w:rsidR="006527A0">
        <w:rPr>
          <w:rFonts w:ascii="Palatino Linotype" w:eastAsia="MS Mincho" w:hAnsi="Palatino Linotype"/>
          <w:color w:val="000000"/>
        </w:rPr>
        <w:t>ț</w:t>
      </w:r>
      <w:r w:rsidRPr="00651898">
        <w:rPr>
          <w:rFonts w:ascii="Palatino Linotype" w:eastAsia="MS Mincho" w:hAnsi="Palatino Linotype"/>
          <w:color w:val="000000"/>
        </w:rPr>
        <w:t>ie de conflict de interese în conformitate cu prevederile art. 10 alin. (1)</w:t>
      </w:r>
      <w:r w:rsidRPr="00651898">
        <w:rPr>
          <w:rFonts w:ascii="Palatino Linotype" w:eastAsia="MS Mincho" w:hAnsi="Palatino Linotype"/>
          <w:i/>
          <w:iCs/>
          <w:color w:val="000000"/>
          <w:sz w:val="16"/>
          <w:szCs w:val="16"/>
        </w:rPr>
        <w:footnoteReference w:id="1"/>
      </w:r>
      <w:r w:rsidRPr="00651898">
        <w:rPr>
          <w:rFonts w:ascii="Palatino Linotype" w:eastAsia="MS Mincho" w:hAnsi="Palatino Linotype"/>
          <w:color w:val="000000"/>
        </w:rPr>
        <w:t>, art. 13 alin. (1)</w:t>
      </w:r>
      <w:r w:rsidRPr="00651898">
        <w:rPr>
          <w:rFonts w:ascii="Palatino Linotype" w:eastAsia="MS Mincho" w:hAnsi="Palatino Linotype"/>
          <w:i/>
          <w:iCs/>
          <w:color w:val="000000"/>
          <w:sz w:val="16"/>
          <w:szCs w:val="16"/>
        </w:rPr>
        <w:footnoteReference w:id="2"/>
      </w:r>
      <w:r w:rsidRPr="00651898">
        <w:rPr>
          <w:rFonts w:ascii="Palatino Linotype" w:eastAsia="MS Mincho" w:hAnsi="Palatino Linotype"/>
          <w:color w:val="000000"/>
          <w:sz w:val="16"/>
          <w:szCs w:val="16"/>
        </w:rPr>
        <w:t xml:space="preserve"> </w:t>
      </w:r>
      <w:r w:rsidRPr="00651898">
        <w:rPr>
          <w:rFonts w:ascii="Palatino Linotype" w:eastAsia="MS Mincho" w:hAnsi="Palatino Linotype"/>
          <w:color w:val="000000"/>
        </w:rPr>
        <w:t>şi art. 16 alin. (1)</w:t>
      </w:r>
      <w:r w:rsidRPr="00651898">
        <w:rPr>
          <w:rFonts w:ascii="Palatino Linotype" w:eastAsia="MS Mincho" w:hAnsi="Palatino Linotype"/>
          <w:i/>
          <w:iCs/>
          <w:color w:val="000000"/>
          <w:sz w:val="16"/>
          <w:szCs w:val="16"/>
        </w:rPr>
        <w:footnoteReference w:id="3"/>
      </w:r>
      <w:r w:rsidRPr="00651898">
        <w:rPr>
          <w:rFonts w:ascii="Palatino Linotype" w:eastAsia="MS Mincho" w:hAnsi="Palatino Linotype"/>
          <w:i/>
          <w:iCs/>
          <w:color w:val="000000"/>
          <w:sz w:val="16"/>
          <w:szCs w:val="16"/>
        </w:rPr>
        <w:t xml:space="preserve"> </w:t>
      </w:r>
      <w:r w:rsidRPr="00651898">
        <w:rPr>
          <w:rFonts w:ascii="Palatino Linotype" w:eastAsia="MS Mincho" w:hAnsi="Palatino Linotype"/>
          <w:color w:val="000000"/>
        </w:rPr>
        <w:t>din O.U.G. nr. 66/2011 privind prevenirea, constatarea şi sancţionarea neregulilor apărute în obţinerea şi utilizarea fondurilor europene şi/sau a fondurilor publice naţionale aferente acestora, cu modificările şi completările ulterioare.</w:t>
      </w:r>
    </w:p>
    <w:p w14:paraId="5437DA94" w14:textId="3E7ADC0B" w:rsidR="00651898" w:rsidRDefault="00651898" w:rsidP="00651898">
      <w:pPr>
        <w:spacing w:after="4" w:line="248" w:lineRule="auto"/>
        <w:ind w:left="349" w:hanging="10"/>
        <w:jc w:val="both"/>
        <w:rPr>
          <w:rFonts w:ascii="Palatino Linotype" w:eastAsia="Trebuchet MS" w:hAnsi="Palatino Linotype"/>
          <w:b/>
          <w:bCs/>
          <w:color w:val="000000"/>
        </w:rPr>
      </w:pPr>
    </w:p>
    <w:p w14:paraId="0A586C23" w14:textId="77777777" w:rsidR="00026B11" w:rsidRPr="00651898" w:rsidRDefault="00026B11" w:rsidP="00651898">
      <w:pPr>
        <w:spacing w:after="4" w:line="248" w:lineRule="auto"/>
        <w:ind w:left="349" w:hanging="10"/>
        <w:jc w:val="both"/>
        <w:rPr>
          <w:rFonts w:ascii="Palatino Linotype" w:eastAsia="Trebuchet MS" w:hAnsi="Palatino Linotype"/>
          <w:b/>
          <w:bCs/>
          <w:color w:val="000000"/>
        </w:rPr>
      </w:pPr>
    </w:p>
    <w:p w14:paraId="728EEB7B" w14:textId="77777777" w:rsidR="0073691B" w:rsidRDefault="00651898" w:rsidP="0073691B">
      <w:pPr>
        <w:spacing w:after="4" w:line="248" w:lineRule="auto"/>
        <w:ind w:left="349" w:hanging="10"/>
        <w:jc w:val="both"/>
        <w:rPr>
          <w:rFonts w:ascii="Palatino Linotype" w:eastAsia="Trebuchet MS" w:hAnsi="Palatino Linotype"/>
          <w:b/>
          <w:bCs/>
          <w:color w:val="000000"/>
        </w:rPr>
      </w:pPr>
      <w:r w:rsidRPr="00651898">
        <w:rPr>
          <w:rFonts w:ascii="Palatino Linotype" w:eastAsia="Trebuchet MS" w:hAnsi="Palatino Linotype"/>
          <w:b/>
          <w:bCs/>
          <w:color w:val="000000"/>
        </w:rPr>
        <w:t>Data</w:t>
      </w:r>
      <w:r w:rsidR="0073691B">
        <w:rPr>
          <w:rFonts w:ascii="Palatino Linotype" w:eastAsia="Trebuchet MS" w:hAnsi="Palatino Linotype"/>
          <w:b/>
          <w:bCs/>
          <w:color w:val="000000"/>
        </w:rPr>
        <w:t>:</w:t>
      </w:r>
    </w:p>
    <w:p w14:paraId="69E877B1" w14:textId="77777777" w:rsidR="0073691B" w:rsidRDefault="0073691B" w:rsidP="0073691B">
      <w:pPr>
        <w:spacing w:after="4" w:line="248" w:lineRule="auto"/>
        <w:ind w:left="349" w:hanging="10"/>
        <w:jc w:val="both"/>
        <w:rPr>
          <w:rFonts w:ascii="Palatino Linotype" w:eastAsia="Trebuchet MS" w:hAnsi="Palatino Linotype"/>
          <w:b/>
          <w:bCs/>
          <w:color w:val="000000"/>
        </w:rPr>
      </w:pPr>
    </w:p>
    <w:p w14:paraId="3353268F" w14:textId="77777777" w:rsidR="0073691B" w:rsidRDefault="0073691B" w:rsidP="0073691B">
      <w:pPr>
        <w:spacing w:after="4" w:line="248" w:lineRule="auto"/>
        <w:ind w:left="349" w:hanging="10"/>
        <w:jc w:val="center"/>
        <w:rPr>
          <w:rFonts w:ascii="Palatino Linotype" w:eastAsia="Calibri" w:hAnsi="Palatino Linotype"/>
          <w:b/>
          <w:bCs/>
          <w:color w:val="000000"/>
        </w:rPr>
      </w:pPr>
    </w:p>
    <w:p w14:paraId="12388955" w14:textId="77777777" w:rsidR="0073691B" w:rsidRDefault="0073691B" w:rsidP="0073691B">
      <w:pPr>
        <w:spacing w:after="4" w:line="248" w:lineRule="auto"/>
        <w:ind w:left="349" w:hanging="10"/>
        <w:jc w:val="center"/>
        <w:rPr>
          <w:rFonts w:ascii="Palatino Linotype" w:eastAsia="Calibri" w:hAnsi="Palatino Linotype"/>
          <w:b/>
          <w:bCs/>
          <w:color w:val="000000"/>
        </w:rPr>
      </w:pPr>
    </w:p>
    <w:p w14:paraId="03671556" w14:textId="17FAF93E" w:rsidR="0073691B" w:rsidRDefault="00651898" w:rsidP="0073691B">
      <w:pPr>
        <w:spacing w:after="4" w:line="248" w:lineRule="auto"/>
        <w:ind w:left="349" w:hanging="10"/>
        <w:jc w:val="center"/>
        <w:rPr>
          <w:rFonts w:ascii="Palatino Linotype" w:eastAsia="Trebuchet MS" w:hAnsi="Palatino Linotype"/>
          <w:b/>
          <w:bCs/>
          <w:color w:val="000000"/>
        </w:rPr>
      </w:pPr>
      <w:r w:rsidRPr="00651898">
        <w:rPr>
          <w:rFonts w:ascii="Palatino Linotype" w:eastAsia="Calibri" w:hAnsi="Palatino Linotype"/>
          <w:b/>
          <w:bCs/>
          <w:color w:val="000000"/>
        </w:rPr>
        <w:t>Reprezentant legal</w:t>
      </w:r>
    </w:p>
    <w:p w14:paraId="79733BE7" w14:textId="6AF4D706" w:rsidR="00651898" w:rsidRPr="00651898" w:rsidRDefault="0073691B" w:rsidP="0073691B">
      <w:pPr>
        <w:spacing w:after="4" w:line="248" w:lineRule="auto"/>
        <w:ind w:left="349" w:hanging="10"/>
        <w:jc w:val="center"/>
        <w:rPr>
          <w:rFonts w:ascii="Palatino Linotype" w:eastAsia="Calibri" w:hAnsi="Palatino Linotype"/>
          <w:b/>
          <w:bCs/>
          <w:i/>
          <w:iCs/>
          <w:color w:val="000000"/>
        </w:rPr>
      </w:pPr>
      <w:r w:rsidRPr="0073691B">
        <w:rPr>
          <w:rFonts w:ascii="Palatino Linotype" w:eastAsia="Calibri" w:hAnsi="Palatino Linotype"/>
          <w:b/>
          <w:bCs/>
          <w:i/>
          <w:iCs/>
          <w:color w:val="000000"/>
        </w:rPr>
        <w:t>(Nume, prenume și semnătură)</w:t>
      </w:r>
      <w:r w:rsidR="00651898" w:rsidRPr="00651898">
        <w:rPr>
          <w:rFonts w:ascii="Palatino Linotype" w:eastAsia="Calibri" w:hAnsi="Palatino Linotype"/>
          <w:b/>
          <w:bCs/>
          <w:i/>
          <w:iCs/>
          <w:color w:val="000000"/>
        </w:rPr>
        <w:tab/>
        <w:t xml:space="preserve">                        </w:t>
      </w:r>
    </w:p>
    <w:p w14:paraId="54CE186F" w14:textId="77777777" w:rsidR="00651898" w:rsidRPr="00651898" w:rsidRDefault="00651898" w:rsidP="00651898">
      <w:pPr>
        <w:spacing w:after="4" w:line="248" w:lineRule="auto"/>
        <w:ind w:left="7788" w:firstLine="708"/>
        <w:jc w:val="both"/>
        <w:rPr>
          <w:rFonts w:ascii="Palatino Linotype" w:eastAsia="Trebuchet MS" w:hAnsi="Palatino Linotype"/>
          <w:b/>
          <w:bCs/>
          <w:color w:val="000000"/>
        </w:rPr>
      </w:pPr>
    </w:p>
    <w:p w14:paraId="018C3C8F" w14:textId="77777777" w:rsidR="00651898" w:rsidRPr="00651898" w:rsidRDefault="00651898" w:rsidP="00651898">
      <w:pPr>
        <w:spacing w:after="4" w:line="248" w:lineRule="auto"/>
        <w:ind w:left="7788" w:firstLine="708"/>
        <w:jc w:val="both"/>
        <w:rPr>
          <w:rFonts w:ascii="Times New Roman" w:eastAsia="Trebuchet MS"/>
          <w:b/>
          <w:bCs/>
          <w:color w:val="000000"/>
        </w:rPr>
      </w:pPr>
    </w:p>
    <w:p w14:paraId="7BFBF271" w14:textId="77777777" w:rsidR="00651898" w:rsidRPr="00651898" w:rsidRDefault="00651898" w:rsidP="00651898">
      <w:pPr>
        <w:spacing w:after="4" w:line="248" w:lineRule="auto"/>
        <w:ind w:left="7788" w:firstLine="708"/>
        <w:jc w:val="both"/>
        <w:rPr>
          <w:rFonts w:ascii="Times New Roman" w:eastAsia="Trebuchet MS"/>
          <w:b/>
          <w:bCs/>
          <w:color w:val="000000"/>
        </w:rPr>
      </w:pPr>
    </w:p>
    <w:p w14:paraId="0B90D79C" w14:textId="77777777" w:rsidR="00651898" w:rsidRPr="00651898" w:rsidRDefault="00651898" w:rsidP="00651898">
      <w:pPr>
        <w:spacing w:after="4" w:line="248" w:lineRule="auto"/>
        <w:ind w:left="7788" w:firstLine="708"/>
        <w:jc w:val="both"/>
        <w:rPr>
          <w:rFonts w:ascii="Times New Roman" w:eastAsia="Trebuchet MS"/>
          <w:b/>
          <w:bCs/>
          <w:color w:val="000000"/>
        </w:rPr>
      </w:pPr>
    </w:p>
    <w:p w14:paraId="0A01E4B7" w14:textId="77777777" w:rsidR="00044CB0" w:rsidRDefault="00044CB0"/>
    <w:sectPr w:rsidR="00044CB0" w:rsidSect="00C176CA">
      <w:footerReference w:type="default" r:id="rId7"/>
      <w:pgSz w:w="11906" w:h="16838" w:code="9"/>
      <w:pgMar w:top="1135" w:right="1133"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BA200D" w14:textId="77777777" w:rsidR="002A6BFE" w:rsidRDefault="002A6BFE" w:rsidP="00651898">
      <w:pPr>
        <w:spacing w:after="0" w:line="240" w:lineRule="auto"/>
      </w:pPr>
      <w:r>
        <w:separator/>
      </w:r>
    </w:p>
  </w:endnote>
  <w:endnote w:type="continuationSeparator" w:id="0">
    <w:p w14:paraId="3D3813E8" w14:textId="77777777" w:rsidR="002A6BFE" w:rsidRDefault="002A6BFE" w:rsidP="00651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85F23" w14:textId="77777777" w:rsidR="00F025AC" w:rsidRDefault="00F02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2BEDA" w14:textId="77777777" w:rsidR="002A6BFE" w:rsidRDefault="002A6BFE" w:rsidP="00651898">
      <w:pPr>
        <w:spacing w:after="0" w:line="240" w:lineRule="auto"/>
      </w:pPr>
      <w:r>
        <w:separator/>
      </w:r>
    </w:p>
  </w:footnote>
  <w:footnote w:type="continuationSeparator" w:id="0">
    <w:p w14:paraId="59ED6694" w14:textId="77777777" w:rsidR="002A6BFE" w:rsidRDefault="002A6BFE" w:rsidP="00651898">
      <w:pPr>
        <w:spacing w:after="0" w:line="240" w:lineRule="auto"/>
      </w:pPr>
      <w:r>
        <w:continuationSeparator/>
      </w:r>
    </w:p>
  </w:footnote>
  <w:footnote w:id="1">
    <w:p w14:paraId="4EAC32BE" w14:textId="77777777" w:rsidR="00651898" w:rsidRPr="00C05797" w:rsidRDefault="00651898" w:rsidP="00651898">
      <w:pPr>
        <w:pStyle w:val="FootnoteText"/>
        <w:jc w:val="both"/>
      </w:pPr>
      <w:r w:rsidRPr="00C05797">
        <w:rPr>
          <w:rStyle w:val="FootnoteReference"/>
        </w:rPr>
        <w:footnoteRef/>
      </w:r>
      <w:r w:rsidRPr="00C05797">
        <w:t xml:space="preserve"> </w:t>
      </w:r>
      <w:r w:rsidRPr="00C05797">
        <w:rPr>
          <w:sz w:val="16"/>
          <w:szCs w:val="16"/>
        </w:rPr>
        <w:t>,, (1) Persoanele fizice sau juridice care particip</w:t>
      </w:r>
      <w:r w:rsidRPr="00C05797">
        <w:rPr>
          <w:sz w:val="16"/>
          <w:szCs w:val="16"/>
        </w:rPr>
        <w:t>ă</w:t>
      </w:r>
      <w:r w:rsidRPr="00C05797">
        <w:rPr>
          <w:sz w:val="16"/>
          <w:szCs w:val="16"/>
        </w:rPr>
        <w:t xml:space="preserve"> direct </w:t>
      </w:r>
      <w:r w:rsidRPr="00C05797">
        <w:rPr>
          <w:sz w:val="16"/>
          <w:szCs w:val="16"/>
        </w:rPr>
        <w:t>î</w:t>
      </w:r>
      <w:r w:rsidRPr="00C05797">
        <w:rPr>
          <w:sz w:val="16"/>
          <w:szCs w:val="16"/>
        </w:rPr>
        <w:t>n procesul de verificare/evaluare a cererilor de finan</w:t>
      </w:r>
      <w:r w:rsidRPr="00C05797">
        <w:rPr>
          <w:sz w:val="16"/>
          <w:szCs w:val="16"/>
        </w:rPr>
        <w:t>ţ</w:t>
      </w:r>
      <w:r w:rsidRPr="00C05797">
        <w:rPr>
          <w:sz w:val="16"/>
          <w:szCs w:val="16"/>
        </w:rPr>
        <w:t>are nu pot fi solicitan</w:t>
      </w:r>
      <w:r w:rsidRPr="00C05797">
        <w:rPr>
          <w:sz w:val="16"/>
          <w:szCs w:val="16"/>
        </w:rPr>
        <w:t>ţ</w:t>
      </w:r>
      <w:r w:rsidRPr="00C05797">
        <w:rPr>
          <w:sz w:val="16"/>
          <w:szCs w:val="16"/>
        </w:rPr>
        <w:t xml:space="preserve">i </w:t>
      </w:r>
      <w:r w:rsidRPr="00C05797">
        <w:rPr>
          <w:sz w:val="16"/>
          <w:szCs w:val="16"/>
        </w:rPr>
        <w:t>ş</w:t>
      </w:r>
      <w:r w:rsidRPr="00C05797">
        <w:rPr>
          <w:sz w:val="16"/>
          <w:szCs w:val="16"/>
        </w:rPr>
        <w:t>i/sau nu pot acorda servicii de consultan</w:t>
      </w:r>
      <w:r w:rsidRPr="00C05797">
        <w:rPr>
          <w:sz w:val="16"/>
          <w:szCs w:val="16"/>
        </w:rPr>
        <w:t>ţă</w:t>
      </w:r>
      <w:r w:rsidRPr="00C05797">
        <w:rPr>
          <w:sz w:val="16"/>
          <w:szCs w:val="16"/>
        </w:rPr>
        <w:t xml:space="preserve"> unui solicitant.</w:t>
      </w:r>
      <w:r w:rsidRPr="00C05797">
        <w:rPr>
          <w:sz w:val="16"/>
          <w:szCs w:val="16"/>
        </w:rPr>
        <w:t>”</w:t>
      </w:r>
    </w:p>
  </w:footnote>
  <w:footnote w:id="2">
    <w:p w14:paraId="3F239045" w14:textId="77777777" w:rsidR="00651898" w:rsidRPr="00C05797" w:rsidRDefault="00651898" w:rsidP="00651898">
      <w:pPr>
        <w:pStyle w:val="FootnoteText"/>
        <w:jc w:val="both"/>
        <w:rPr>
          <w:sz w:val="16"/>
          <w:szCs w:val="16"/>
        </w:rPr>
      </w:pPr>
      <w:r w:rsidRPr="00C05797">
        <w:rPr>
          <w:rStyle w:val="FootnoteReference"/>
        </w:rPr>
        <w:footnoteRef/>
      </w:r>
      <w:r w:rsidRPr="00C05797">
        <w:t xml:space="preserve"> ,,(</w:t>
      </w:r>
      <w:r w:rsidRPr="00C05797">
        <w:rPr>
          <w:sz w:val="16"/>
          <w:szCs w:val="16"/>
        </w:rPr>
        <w:t xml:space="preserve">1) Beneficiarii persoane fizice/juridice de drept privat nu au dreptul de a angaja persoane fizice sau juridice care au fost implicate </w:t>
      </w:r>
      <w:r w:rsidRPr="00C05797">
        <w:rPr>
          <w:sz w:val="16"/>
          <w:szCs w:val="16"/>
        </w:rPr>
        <w:t>î</w:t>
      </w:r>
      <w:r w:rsidRPr="00C05797">
        <w:rPr>
          <w:sz w:val="16"/>
          <w:szCs w:val="16"/>
        </w:rPr>
        <w:t>n procesul de verificare/evaluare a cererilor de finan</w:t>
      </w:r>
      <w:r w:rsidRPr="00C05797">
        <w:rPr>
          <w:sz w:val="16"/>
          <w:szCs w:val="16"/>
        </w:rPr>
        <w:t>ţ</w:t>
      </w:r>
      <w:r w:rsidRPr="00C05797">
        <w:rPr>
          <w:sz w:val="16"/>
          <w:szCs w:val="16"/>
        </w:rPr>
        <w:t xml:space="preserve">are </w:t>
      </w:r>
      <w:r w:rsidRPr="00C05797">
        <w:rPr>
          <w:sz w:val="16"/>
          <w:szCs w:val="16"/>
        </w:rPr>
        <w:t>î</w:t>
      </w:r>
      <w:r w:rsidRPr="00C05797">
        <w:rPr>
          <w:sz w:val="16"/>
          <w:szCs w:val="16"/>
        </w:rPr>
        <w:t>n cadrul procedurii de selec</w:t>
      </w:r>
      <w:r w:rsidRPr="00C05797">
        <w:rPr>
          <w:sz w:val="16"/>
          <w:szCs w:val="16"/>
        </w:rPr>
        <w:t>ţ</w:t>
      </w:r>
      <w:r w:rsidRPr="00C05797">
        <w:rPr>
          <w:sz w:val="16"/>
          <w:szCs w:val="16"/>
        </w:rPr>
        <w:t>ie pe parcursul unei perioade de cel pu</w:t>
      </w:r>
      <w:r w:rsidRPr="00C05797">
        <w:rPr>
          <w:sz w:val="16"/>
          <w:szCs w:val="16"/>
        </w:rPr>
        <w:t>ţ</w:t>
      </w:r>
      <w:r w:rsidRPr="00C05797">
        <w:rPr>
          <w:sz w:val="16"/>
          <w:szCs w:val="16"/>
        </w:rPr>
        <w:t>in 12 luni de la semnarea contractului de finan</w:t>
      </w:r>
      <w:r w:rsidRPr="00C05797">
        <w:rPr>
          <w:sz w:val="16"/>
          <w:szCs w:val="16"/>
        </w:rPr>
        <w:t>ţ</w:t>
      </w:r>
      <w:r w:rsidRPr="00C05797">
        <w:rPr>
          <w:sz w:val="16"/>
          <w:szCs w:val="16"/>
        </w:rPr>
        <w:t>are</w:t>
      </w:r>
      <w:r w:rsidRPr="00C05797">
        <w:rPr>
          <w:sz w:val="16"/>
          <w:szCs w:val="16"/>
        </w:rPr>
        <w:t>”</w:t>
      </w:r>
      <w:r w:rsidRPr="00C05797">
        <w:rPr>
          <w:sz w:val="16"/>
          <w:szCs w:val="16"/>
        </w:rPr>
        <w:t>.</w:t>
      </w:r>
    </w:p>
  </w:footnote>
  <w:footnote w:id="3">
    <w:p w14:paraId="52627A76" w14:textId="77777777" w:rsidR="00651898" w:rsidRPr="00C05797" w:rsidRDefault="00651898" w:rsidP="00651898">
      <w:pPr>
        <w:pStyle w:val="FootnoteText"/>
        <w:jc w:val="both"/>
        <w:rPr>
          <w:sz w:val="16"/>
          <w:szCs w:val="16"/>
        </w:rPr>
      </w:pPr>
      <w:r w:rsidRPr="00C05797">
        <w:rPr>
          <w:rStyle w:val="FootnoteReference"/>
        </w:rPr>
        <w:footnoteRef/>
      </w:r>
      <w:r w:rsidRPr="00C05797">
        <w:t xml:space="preserve"> </w:t>
      </w:r>
      <w:r w:rsidRPr="00C05797">
        <w:rPr>
          <w:sz w:val="16"/>
          <w:szCs w:val="16"/>
        </w:rPr>
        <w:t>,,(1) Dispozi</w:t>
      </w:r>
      <w:r w:rsidRPr="00C05797">
        <w:rPr>
          <w:sz w:val="16"/>
          <w:szCs w:val="16"/>
        </w:rPr>
        <w:t>ţ</w:t>
      </w:r>
      <w:r w:rsidRPr="00C05797">
        <w:rPr>
          <w:sz w:val="16"/>
          <w:szCs w:val="16"/>
        </w:rPr>
        <w:t>iile prezentei sec</w:t>
      </w:r>
      <w:r w:rsidRPr="00C05797">
        <w:rPr>
          <w:sz w:val="16"/>
          <w:szCs w:val="16"/>
        </w:rPr>
        <w:t>ţ</w:t>
      </w:r>
      <w:r w:rsidRPr="00C05797">
        <w:rPr>
          <w:sz w:val="16"/>
          <w:szCs w:val="16"/>
        </w:rPr>
        <w:t>iuni se completeaz</w:t>
      </w:r>
      <w:r w:rsidRPr="00C05797">
        <w:rPr>
          <w:sz w:val="16"/>
          <w:szCs w:val="16"/>
        </w:rPr>
        <w:t>ă</w:t>
      </w:r>
      <w:r w:rsidRPr="00C05797">
        <w:rPr>
          <w:sz w:val="16"/>
          <w:szCs w:val="16"/>
        </w:rPr>
        <w:t xml:space="preserve"> corespunz</w:t>
      </w:r>
      <w:r w:rsidRPr="00C05797">
        <w:rPr>
          <w:sz w:val="16"/>
          <w:szCs w:val="16"/>
        </w:rPr>
        <w:t>ă</w:t>
      </w:r>
      <w:r w:rsidRPr="00C05797">
        <w:rPr>
          <w:sz w:val="16"/>
          <w:szCs w:val="16"/>
        </w:rPr>
        <w:t>tor cu prevederile legisla</w:t>
      </w:r>
      <w:r w:rsidRPr="00C05797">
        <w:rPr>
          <w:sz w:val="16"/>
          <w:szCs w:val="16"/>
        </w:rPr>
        <w:t>ţ</w:t>
      </w:r>
      <w:r w:rsidRPr="00C05797">
        <w:rPr>
          <w:sz w:val="16"/>
          <w:szCs w:val="16"/>
        </w:rPr>
        <w:t>iei na</w:t>
      </w:r>
      <w:r w:rsidRPr="00C05797">
        <w:rPr>
          <w:sz w:val="16"/>
          <w:szCs w:val="16"/>
        </w:rPr>
        <w:t>ţ</w:t>
      </w:r>
      <w:r w:rsidRPr="00C05797">
        <w:rPr>
          <w:sz w:val="16"/>
          <w:szCs w:val="16"/>
        </w:rPr>
        <w:t>ionale referitoare la conflictul de interese.</w:t>
      </w:r>
      <w:r w:rsidRPr="00C05797">
        <w:rPr>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898"/>
    <w:rsid w:val="00026B11"/>
    <w:rsid w:val="00044CB0"/>
    <w:rsid w:val="002A6BFE"/>
    <w:rsid w:val="0037754F"/>
    <w:rsid w:val="00431E3F"/>
    <w:rsid w:val="00505B95"/>
    <w:rsid w:val="005A67DE"/>
    <w:rsid w:val="00650565"/>
    <w:rsid w:val="00651898"/>
    <w:rsid w:val="006527A0"/>
    <w:rsid w:val="00714740"/>
    <w:rsid w:val="0073691B"/>
    <w:rsid w:val="00845983"/>
    <w:rsid w:val="008875D1"/>
    <w:rsid w:val="008F0014"/>
    <w:rsid w:val="0098447F"/>
    <w:rsid w:val="00AE3DDB"/>
    <w:rsid w:val="00C176CA"/>
    <w:rsid w:val="00D46D67"/>
    <w:rsid w:val="00DC14D1"/>
    <w:rsid w:val="00DC7F57"/>
    <w:rsid w:val="00DD30B8"/>
    <w:rsid w:val="00DE5B40"/>
    <w:rsid w:val="00E160D5"/>
    <w:rsid w:val="00F025AC"/>
  </w:rsids>
  <m:mathPr>
    <m:mathFont m:val="Cambria Math"/>
    <m:brkBin m:val="before"/>
    <m:brkBinSub m:val="--"/>
    <m:smallFrac m:val="0"/>
    <m:dispDef/>
    <m:lMargin m:val="0"/>
    <m:rMargin m:val="0"/>
    <m:defJc m:val="centerGroup"/>
    <m:wrapIndent m:val="1440"/>
    <m:intLim m:val="subSup"/>
    <m:naryLim m:val="undOvr"/>
  </m:mathPr>
  <w:themeFontLang w:val="ro-R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1C59"/>
  <w15:chartTrackingRefBased/>
  <w15:docId w15:val="{E20C4FBF-9FC2-4EAF-8908-7D56AFA21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18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1898"/>
    <w:rPr>
      <w:sz w:val="20"/>
      <w:szCs w:val="20"/>
      <w:lang w:val="ro-RO"/>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nhideWhenUsed/>
    <w:qFormat/>
    <w:rsid w:val="00651898"/>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651898"/>
    <w:pPr>
      <w:spacing w:line="240" w:lineRule="exact"/>
    </w:pPr>
    <w:rPr>
      <w:vertAlign w:val="superscript"/>
      <w:lang w:val="en-US"/>
    </w:rPr>
  </w:style>
  <w:style w:type="paragraph" w:styleId="Header">
    <w:name w:val="header"/>
    <w:basedOn w:val="Normal"/>
    <w:link w:val="HeaderChar"/>
    <w:uiPriority w:val="99"/>
    <w:unhideWhenUsed/>
    <w:rsid w:val="00F025AC"/>
    <w:pPr>
      <w:tabs>
        <w:tab w:val="center" w:pos="4703"/>
        <w:tab w:val="right" w:pos="9406"/>
      </w:tabs>
      <w:spacing w:after="0" w:line="240" w:lineRule="auto"/>
    </w:pPr>
  </w:style>
  <w:style w:type="character" w:customStyle="1" w:styleId="HeaderChar">
    <w:name w:val="Header Char"/>
    <w:basedOn w:val="DefaultParagraphFont"/>
    <w:link w:val="Header"/>
    <w:uiPriority w:val="99"/>
    <w:rsid w:val="00F025AC"/>
    <w:rPr>
      <w:lang w:val="ro-RO"/>
    </w:rPr>
  </w:style>
  <w:style w:type="paragraph" w:styleId="Footer">
    <w:name w:val="footer"/>
    <w:basedOn w:val="Normal"/>
    <w:link w:val="FooterChar"/>
    <w:uiPriority w:val="99"/>
    <w:unhideWhenUsed/>
    <w:rsid w:val="00F025AC"/>
    <w:pPr>
      <w:tabs>
        <w:tab w:val="center" w:pos="4703"/>
        <w:tab w:val="right" w:pos="9406"/>
      </w:tabs>
      <w:spacing w:after="0" w:line="240" w:lineRule="auto"/>
    </w:pPr>
  </w:style>
  <w:style w:type="character" w:customStyle="1" w:styleId="FooterChar">
    <w:name w:val="Footer Char"/>
    <w:basedOn w:val="DefaultParagraphFont"/>
    <w:link w:val="Footer"/>
    <w:uiPriority w:val="99"/>
    <w:rsid w:val="00F025AC"/>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22AF1-72E9-47FA-BE48-381BDACA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Kanyadi Beata</dc:creator>
  <cp:keywords/>
  <dc:description/>
  <cp:lastModifiedBy>Kanyadi Beata</cp:lastModifiedBy>
  <cp:revision>27</cp:revision>
  <cp:lastPrinted>2021-07-07T09:57:00Z</cp:lastPrinted>
  <dcterms:created xsi:type="dcterms:W3CDTF">2021-06-30T08:13:00Z</dcterms:created>
  <dcterms:modified xsi:type="dcterms:W3CDTF">2021-07-12T11:07:00Z</dcterms:modified>
</cp:coreProperties>
</file>